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Pr="00F106CD" w:rsidRDefault="002F1042" w:rsidP="00500B31">
      <w:pPr>
        <w:spacing w:after="0" w:line="288" w:lineRule="atLeast"/>
        <w:ind w:left="85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C6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F1042" w:rsidRDefault="008C0B44" w:rsidP="002F10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 w:rsidRPr="00917D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F1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2F1042" w:rsidRDefault="002F1042" w:rsidP="002F10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C6448C" w:rsidRDefault="00C6448C" w:rsidP="00500B31">
      <w:pPr>
        <w:spacing w:after="0" w:line="288" w:lineRule="atLeast"/>
        <w:ind w:left="85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F106CD" w:rsidRDefault="002F506C" w:rsidP="00500B31">
      <w:pPr>
        <w:spacing w:after="0" w:line="288" w:lineRule="atLeast"/>
        <w:ind w:left="85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1979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E6422A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C0B44" w:rsidRPr="00F1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Pr="00F106CD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979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№ </w:t>
      </w:r>
      <w:r w:rsidR="002B1AF9"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43719"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2F506C" w:rsidRPr="00F106CD" w:rsidRDefault="002F506C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8C0B44" w:rsidRPr="00F106CD" w:rsidRDefault="008C0B44" w:rsidP="00F4371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ОБЪЕКТЫ</w:t>
      </w:r>
      <w:r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F43719" w:rsidRPr="00F10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значения в области электро-, тепло-, газо- и водоснабжения населения, водоотведения и показатели максимально допустимого уровня территориальной доступности таких объектов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2268"/>
        <w:gridCol w:w="2126"/>
        <w:gridCol w:w="2043"/>
        <w:gridCol w:w="1705"/>
        <w:gridCol w:w="855"/>
        <w:gridCol w:w="996"/>
        <w:gridCol w:w="855"/>
        <w:gridCol w:w="992"/>
        <w:gridCol w:w="917"/>
      </w:tblGrid>
      <w:tr w:rsidR="00C6448C" w:rsidRPr="00F106CD" w:rsidTr="0098754F">
        <w:trPr>
          <w:tblHeader/>
        </w:trPr>
        <w:tc>
          <w:tcPr>
            <w:tcW w:w="568" w:type="dxa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2268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2126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8363" w:type="dxa"/>
            <w:gridSpan w:val="7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F106CD" w:rsidRPr="00F106CD" w:rsidTr="0098754F">
        <w:trPr>
          <w:tblHeader/>
        </w:trPr>
        <w:tc>
          <w:tcPr>
            <w:tcW w:w="568" w:type="dxa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  <w:tc>
          <w:tcPr>
            <w:tcW w:w="2043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</w:t>
            </w:r>
          </w:p>
        </w:tc>
        <w:tc>
          <w:tcPr>
            <w:tcW w:w="1705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</w:t>
            </w:r>
          </w:p>
        </w:tc>
        <w:tc>
          <w:tcPr>
            <w:tcW w:w="855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</w:t>
            </w:r>
          </w:p>
        </w:tc>
        <w:tc>
          <w:tcPr>
            <w:tcW w:w="917" w:type="dxa"/>
            <w:vAlign w:val="center"/>
          </w:tcPr>
          <w:p w:rsidR="00F106CD" w:rsidRPr="00F106CD" w:rsidRDefault="00F106CD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Объекты </w:t>
            </w:r>
            <w:proofErr w:type="spellStart"/>
            <w:proofErr w:type="gramStart"/>
            <w:r w:rsidRPr="00F106CD">
              <w:rPr>
                <w:sz w:val="20"/>
                <w:szCs w:val="20"/>
              </w:rPr>
              <w:t>электроснаб</w:t>
            </w:r>
            <w:r w:rsidR="00E6422A">
              <w:rPr>
                <w:sz w:val="20"/>
                <w:szCs w:val="20"/>
              </w:rPr>
              <w:t>-</w:t>
            </w:r>
            <w:r w:rsidRPr="00F106CD">
              <w:rPr>
                <w:sz w:val="20"/>
                <w:szCs w:val="20"/>
              </w:rPr>
              <w:t>жения</w:t>
            </w:r>
            <w:proofErr w:type="spellEnd"/>
            <w:proofErr w:type="gramEnd"/>
            <w:r w:rsidRPr="00F106CD">
              <w:rPr>
                <w:sz w:val="20"/>
                <w:szCs w:val="20"/>
              </w:rPr>
              <w:t xml:space="preserve">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- </w:t>
            </w:r>
            <w:proofErr w:type="gramStart"/>
            <w:r w:rsidRPr="00F106CD">
              <w:rPr>
                <w:sz w:val="20"/>
                <w:szCs w:val="20"/>
              </w:rPr>
              <w:t>распре</w:t>
            </w:r>
            <w:r w:rsidR="00E6422A">
              <w:rPr>
                <w:sz w:val="20"/>
                <w:szCs w:val="20"/>
              </w:rPr>
              <w:t>-</w:t>
            </w:r>
            <w:r w:rsidRPr="00F106CD">
              <w:rPr>
                <w:sz w:val="20"/>
                <w:szCs w:val="20"/>
              </w:rPr>
              <w:t>делительные</w:t>
            </w:r>
            <w:proofErr w:type="gramEnd"/>
            <w:r w:rsidRPr="00F106CD">
              <w:rPr>
                <w:sz w:val="20"/>
                <w:szCs w:val="20"/>
              </w:rPr>
              <w:t xml:space="preserve"> пункты (РП), трансформатор</w:t>
            </w:r>
            <w:r w:rsidR="00E6422A">
              <w:rPr>
                <w:sz w:val="20"/>
                <w:szCs w:val="20"/>
              </w:rPr>
              <w:t>-</w:t>
            </w:r>
            <w:proofErr w:type="spellStart"/>
            <w:r w:rsidRPr="00F106CD">
              <w:rPr>
                <w:sz w:val="20"/>
                <w:szCs w:val="20"/>
              </w:rPr>
              <w:t>ные</w:t>
            </w:r>
            <w:proofErr w:type="spellEnd"/>
            <w:r w:rsidRPr="00F106CD">
              <w:rPr>
                <w:sz w:val="20"/>
                <w:szCs w:val="20"/>
              </w:rPr>
              <w:t xml:space="preserve"> подстанции (ТП);</w:t>
            </w:r>
          </w:p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электрические сети до 10 кВ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Укрупненный показатель расхода электроэнергии, удельный расход электроэнергии, </w:t>
            </w:r>
            <w:proofErr w:type="spellStart"/>
            <w:r w:rsidRPr="00F106CD">
              <w:rPr>
                <w:sz w:val="20"/>
                <w:szCs w:val="20"/>
              </w:rPr>
              <w:t>кВт.ч</w:t>
            </w:r>
            <w:proofErr w:type="spellEnd"/>
            <w:r w:rsidRPr="00F106CD">
              <w:rPr>
                <w:sz w:val="20"/>
                <w:szCs w:val="20"/>
              </w:rPr>
              <w:t>/чел. в год</w:t>
            </w:r>
            <w:r w:rsidR="00E6422A">
              <w:rPr>
                <w:sz w:val="20"/>
                <w:szCs w:val="20"/>
              </w:rPr>
              <w:t xml:space="preserve"> </w:t>
            </w:r>
            <w:hyperlink w:anchor="P2335" w:tooltip="&lt;1&gt; Приведенные укрупненные показатели электропотребления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">
              <w:r w:rsidRPr="00F106CD">
                <w:rPr>
                  <w:sz w:val="20"/>
                  <w:szCs w:val="20"/>
                </w:rPr>
                <w:t>&lt;1&gt;</w:t>
              </w:r>
            </w:hyperlink>
            <w:r w:rsidRPr="00F106CD">
              <w:rPr>
                <w:sz w:val="20"/>
                <w:szCs w:val="20"/>
              </w:rPr>
              <w:t xml:space="preserve">, </w:t>
            </w:r>
            <w:hyperlink w:anchor="P2336" w:tooltip="&lt;2&gt; При наличии данных о параметрах жилищного фонда следует руководствоваться показателями, установленными постановлением департамента топливно-энергетического комплекса и жилищно-коммунального хозяйства Костромской области от 16 октября 2012 года N 2-НП &quot;Об у">
              <w:r w:rsidRPr="00F106CD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Степень благоустройства: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Вид населенного пункта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2F5EF3" w:rsidRPr="00F106CD" w:rsidRDefault="002F5EF3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при отсутствии стационарных электроплит и кондиционеров</w:t>
            </w:r>
          </w:p>
        </w:tc>
        <w:tc>
          <w:tcPr>
            <w:tcW w:w="4411" w:type="dxa"/>
            <w:gridSpan w:val="4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населенные пункты</w:t>
            </w:r>
          </w:p>
        </w:tc>
        <w:tc>
          <w:tcPr>
            <w:tcW w:w="1909" w:type="dxa"/>
            <w:gridSpan w:val="2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1360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сельские населенные пункты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950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2F5EF3" w:rsidRPr="00F106CD" w:rsidRDefault="002F5EF3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при отсутствии стационарных электроплит с кондиционерами</w:t>
            </w:r>
          </w:p>
        </w:tc>
        <w:tc>
          <w:tcPr>
            <w:tcW w:w="4411" w:type="dxa"/>
            <w:gridSpan w:val="4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населенные пункты</w:t>
            </w:r>
          </w:p>
        </w:tc>
        <w:tc>
          <w:tcPr>
            <w:tcW w:w="1909" w:type="dxa"/>
            <w:gridSpan w:val="2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1600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2F5EF3" w:rsidRPr="00F106CD" w:rsidRDefault="002F5EF3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оборудованные </w:t>
            </w:r>
            <w:r>
              <w:rPr>
                <w:sz w:val="20"/>
                <w:szCs w:val="20"/>
              </w:rPr>
              <w:t>стационарными электроплитами,</w:t>
            </w:r>
            <w:r w:rsidRPr="00F106CD">
              <w:rPr>
                <w:sz w:val="20"/>
                <w:szCs w:val="20"/>
              </w:rPr>
              <w:t xml:space="preserve"> без кондиционеров</w:t>
            </w:r>
          </w:p>
        </w:tc>
        <w:tc>
          <w:tcPr>
            <w:tcW w:w="4411" w:type="dxa"/>
            <w:gridSpan w:val="4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населенные пункты</w:t>
            </w:r>
          </w:p>
        </w:tc>
        <w:tc>
          <w:tcPr>
            <w:tcW w:w="1909" w:type="dxa"/>
            <w:gridSpan w:val="2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1680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сельские населенные пункты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1350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2F5EF3" w:rsidRPr="00F106CD" w:rsidRDefault="002F5EF3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оборудованные стационарными электроплитами и кондиционерами</w:t>
            </w:r>
          </w:p>
        </w:tc>
        <w:tc>
          <w:tcPr>
            <w:tcW w:w="4411" w:type="dxa"/>
            <w:gridSpan w:val="4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населенные пункты</w:t>
            </w:r>
          </w:p>
        </w:tc>
        <w:tc>
          <w:tcPr>
            <w:tcW w:w="1909" w:type="dxa"/>
            <w:gridSpan w:val="2"/>
            <w:vMerge w:val="restart"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1920</w:t>
            </w:r>
          </w:p>
        </w:tc>
      </w:tr>
      <w:tr w:rsidR="002F5EF3" w:rsidRPr="00F106CD" w:rsidTr="0098754F">
        <w:tc>
          <w:tcPr>
            <w:tcW w:w="568" w:type="dxa"/>
          </w:tcPr>
          <w:p w:rsidR="002F5EF3" w:rsidRPr="00F106CD" w:rsidRDefault="002F5EF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11.</w:t>
            </w:r>
          </w:p>
        </w:tc>
        <w:tc>
          <w:tcPr>
            <w:tcW w:w="1559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2F5EF3" w:rsidRPr="00F106CD" w:rsidRDefault="002F5EF3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Merge/>
          </w:tcPr>
          <w:p w:rsidR="002F5EF3" w:rsidRPr="00F106CD" w:rsidRDefault="002F5EF3" w:rsidP="00F106C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 земельного участка, отводимого для объектов распределительной сети, кв. м</w:t>
            </w:r>
          </w:p>
        </w:tc>
        <w:tc>
          <w:tcPr>
            <w:tcW w:w="8363" w:type="dxa"/>
            <w:gridSpan w:val="7"/>
          </w:tcPr>
          <w:p w:rsidR="00500B31" w:rsidRPr="00F106CD" w:rsidRDefault="00500B31" w:rsidP="00E6422A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По проекту, но не более установленных </w:t>
            </w:r>
            <w:hyperlink r:id="rId7" w:tooltip="&quot;Нормы отвода земель для электрических сетей напряжением 0,38 - 750 кВ. N 14278ТМ-Т1&quot; (утв. Минтопэнерго 20.05.1994) {КонсультантПлюс}">
              <w:r w:rsidRPr="00F106CD">
                <w:rPr>
                  <w:sz w:val="20"/>
                  <w:szCs w:val="20"/>
                </w:rPr>
                <w:t>п. 3.1</w:t>
              </w:r>
            </w:hyperlink>
            <w:r w:rsidRPr="00F106CD">
              <w:rPr>
                <w:sz w:val="20"/>
                <w:szCs w:val="20"/>
              </w:rPr>
              <w:t xml:space="preserve"> </w:t>
            </w:r>
            <w:r w:rsidR="00E6422A">
              <w:rPr>
                <w:sz w:val="20"/>
                <w:szCs w:val="20"/>
              </w:rPr>
              <w:t>«</w:t>
            </w:r>
            <w:r w:rsidRPr="00F106CD">
              <w:rPr>
                <w:sz w:val="20"/>
                <w:szCs w:val="20"/>
              </w:rPr>
              <w:t>Норм отвода земель для электрически</w:t>
            </w:r>
            <w:r w:rsidR="00E6422A">
              <w:rPr>
                <w:sz w:val="20"/>
                <w:szCs w:val="20"/>
              </w:rPr>
              <w:t>х сетей напряжением 0,38-750 кВ</w:t>
            </w:r>
            <w:r w:rsidRPr="00F106CD">
              <w:rPr>
                <w:sz w:val="20"/>
                <w:szCs w:val="20"/>
              </w:rPr>
              <w:t xml:space="preserve"> N 14278ТМ-Т1</w:t>
            </w:r>
            <w:r w:rsidR="00E6422A">
              <w:rPr>
                <w:sz w:val="20"/>
                <w:szCs w:val="20"/>
              </w:rPr>
              <w:t>»</w:t>
            </w:r>
            <w:r w:rsidRPr="00F106CD">
              <w:rPr>
                <w:sz w:val="20"/>
                <w:szCs w:val="20"/>
              </w:rPr>
              <w:t xml:space="preserve">, утвержденных Минтопэнерго России 20 мая </w:t>
            </w:r>
            <w:r w:rsidR="00E6422A">
              <w:rPr>
                <w:sz w:val="20"/>
                <w:szCs w:val="20"/>
              </w:rPr>
              <w:t xml:space="preserve">       </w:t>
            </w:r>
            <w:r w:rsidRPr="00F106CD">
              <w:rPr>
                <w:sz w:val="20"/>
                <w:szCs w:val="20"/>
              </w:rPr>
              <w:t>1994 года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8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газоснабжения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пункты редуцирования газа;</w:t>
            </w:r>
          </w:p>
          <w:p w:rsidR="00500B31" w:rsidRPr="00F106CD" w:rsidRDefault="00500B31" w:rsidP="00C6448C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газораспределительные сети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Нормы потребления газа, используемого для приготовления пищи и нагрева воды с использованием газовых приборов при отсутствии приборов учета</w:t>
            </w: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Виды потребления природного газа</w:t>
            </w:r>
          </w:p>
        </w:tc>
        <w:tc>
          <w:tcPr>
            <w:tcW w:w="6320" w:type="dxa"/>
            <w:gridSpan w:val="6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/чел в месяц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/чел в год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газовой плиты при наличии центрального отопления и центрального горячего водоснабжения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11,1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133,2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газовой плиты и газового водонагревателя при отсутствии центрального горячего водоснабжения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31,4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376,8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газовой плиты при отсутствии газового водонагревателя и центрального горячего водоснабжения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16,2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194,4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газового водонагревателя при отсутствии газовой плиты и центрального горячего водоснабжения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20,3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243,6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Среднегодовые нормы потребления газа, используемого для отопления жилых помещений газовыми счетчиками (куб. м/месяц на 1 кв. м отапливаемой площади)</w:t>
            </w: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7,6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E6422A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8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22.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теплоснабжения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источники тепловой энергии;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тепловые сети и сооружения на них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Укрупненный показатель объема теплопотребления, Гкал на 1 кв. м общей площади</w:t>
            </w: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Этажность</w:t>
            </w:r>
          </w:p>
        </w:tc>
        <w:tc>
          <w:tcPr>
            <w:tcW w:w="6320" w:type="dxa"/>
            <w:gridSpan w:val="6"/>
            <w:tcBorders>
              <w:bottom w:val="nil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Многоквартирные и жилые дома до 1999 года постройки включительно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округа: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г. Кострома, 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г. Волгореченск.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Муниципальные районы: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Костромской, муниципальный район город Нерехта и </w:t>
            </w:r>
            <w:proofErr w:type="spellStart"/>
            <w:r w:rsidRPr="00F106CD">
              <w:rPr>
                <w:sz w:val="20"/>
                <w:szCs w:val="20"/>
              </w:rPr>
              <w:t>Нерехтский</w:t>
            </w:r>
            <w:proofErr w:type="spellEnd"/>
            <w:r w:rsidRPr="00F106CD">
              <w:rPr>
                <w:sz w:val="20"/>
                <w:szCs w:val="20"/>
              </w:rPr>
              <w:t xml:space="preserve"> район. 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Муниципальные округа: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t>Красносельский</w:t>
            </w:r>
            <w:proofErr w:type="spellEnd"/>
            <w:r w:rsidRPr="00F106CD">
              <w:rPr>
                <w:sz w:val="20"/>
                <w:szCs w:val="20"/>
              </w:rPr>
              <w:t>, Остров</w:t>
            </w:r>
            <w:r w:rsidR="00E6422A">
              <w:rPr>
                <w:sz w:val="20"/>
                <w:szCs w:val="20"/>
              </w:rPr>
              <w:t xml:space="preserve">ский, </w:t>
            </w:r>
            <w:proofErr w:type="spellStart"/>
            <w:r w:rsidR="00E6422A">
              <w:rPr>
                <w:sz w:val="20"/>
                <w:szCs w:val="20"/>
              </w:rPr>
              <w:t>Судиславский</w:t>
            </w:r>
            <w:proofErr w:type="spellEnd"/>
            <w:r w:rsidR="00E6422A">
              <w:rPr>
                <w:sz w:val="20"/>
                <w:szCs w:val="20"/>
              </w:rPr>
              <w:t xml:space="preserve">, </w:t>
            </w:r>
            <w:proofErr w:type="spellStart"/>
            <w:r w:rsidR="00E6422A">
              <w:rPr>
                <w:sz w:val="20"/>
                <w:szCs w:val="20"/>
              </w:rPr>
              <w:t>Сусанинский</w:t>
            </w:r>
            <w:proofErr w:type="spellEnd"/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Городские округа: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г. Буй, г. Галич, г. Шарья.</w:t>
            </w:r>
          </w:p>
          <w:p w:rsidR="00500B31" w:rsidRPr="00F106CD" w:rsidRDefault="00500B31" w:rsidP="00F43719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Муниципальные округа:</w:t>
            </w:r>
          </w:p>
          <w:p w:rsidR="00500B31" w:rsidRPr="00F106CD" w:rsidRDefault="00500B31" w:rsidP="00F43719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t>Антроповский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Буйский</w:t>
            </w:r>
            <w:proofErr w:type="spellEnd"/>
            <w:r w:rsidRPr="00F106CD">
              <w:rPr>
                <w:sz w:val="20"/>
                <w:szCs w:val="20"/>
              </w:rPr>
              <w:t xml:space="preserve">, Галичский, </w:t>
            </w:r>
            <w:proofErr w:type="spellStart"/>
            <w:r w:rsidRPr="00F106CD">
              <w:rPr>
                <w:sz w:val="20"/>
                <w:szCs w:val="20"/>
              </w:rPr>
              <w:t>Кадыйский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Макарьевский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Мантуровский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Нейский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Парфеньевский</w:t>
            </w:r>
            <w:proofErr w:type="spellEnd"/>
            <w:r w:rsidRPr="00F106CD">
              <w:rPr>
                <w:sz w:val="20"/>
                <w:szCs w:val="20"/>
              </w:rPr>
              <w:t>, Поназы</w:t>
            </w:r>
            <w:r w:rsidR="00E6422A">
              <w:rPr>
                <w:sz w:val="20"/>
                <w:szCs w:val="20"/>
              </w:rPr>
              <w:t xml:space="preserve">ревский, </w:t>
            </w:r>
            <w:proofErr w:type="spellStart"/>
            <w:r w:rsidR="00E6422A">
              <w:rPr>
                <w:sz w:val="20"/>
                <w:szCs w:val="20"/>
              </w:rPr>
              <w:t>Чухломский</w:t>
            </w:r>
            <w:proofErr w:type="spellEnd"/>
            <w:r w:rsidR="00E6422A">
              <w:rPr>
                <w:sz w:val="20"/>
                <w:szCs w:val="20"/>
              </w:rPr>
              <w:t xml:space="preserve">, </w:t>
            </w:r>
            <w:proofErr w:type="spellStart"/>
            <w:r w:rsidR="00E6422A">
              <w:rPr>
                <w:sz w:val="20"/>
                <w:szCs w:val="20"/>
              </w:rPr>
              <w:t>Шарьинский</w:t>
            </w:r>
            <w:proofErr w:type="spellEnd"/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Муниципальные округа: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t>Вохомский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Межевской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  <w:proofErr w:type="spellStart"/>
            <w:r w:rsidRPr="00F106CD">
              <w:rPr>
                <w:sz w:val="20"/>
                <w:szCs w:val="20"/>
              </w:rPr>
              <w:t>Кологривский</w:t>
            </w:r>
            <w:proofErr w:type="spellEnd"/>
            <w:r w:rsidRPr="00F106CD">
              <w:rPr>
                <w:sz w:val="20"/>
                <w:szCs w:val="20"/>
              </w:rPr>
              <w:t xml:space="preserve">, </w:t>
            </w:r>
          </w:p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Октябрьский, </w:t>
            </w:r>
            <w:proofErr w:type="spellStart"/>
            <w:r w:rsidRPr="00F106CD">
              <w:rPr>
                <w:sz w:val="20"/>
                <w:szCs w:val="20"/>
              </w:rPr>
              <w:t>Павинс</w:t>
            </w:r>
            <w:r w:rsidR="00E6422A">
              <w:rPr>
                <w:sz w:val="20"/>
                <w:szCs w:val="20"/>
              </w:rPr>
              <w:t>кий</w:t>
            </w:r>
            <w:proofErr w:type="spellEnd"/>
            <w:r w:rsidR="00E6422A">
              <w:rPr>
                <w:sz w:val="20"/>
                <w:szCs w:val="20"/>
              </w:rPr>
              <w:t xml:space="preserve">, </w:t>
            </w:r>
            <w:proofErr w:type="spellStart"/>
            <w:r w:rsidR="00E6422A">
              <w:rPr>
                <w:sz w:val="20"/>
                <w:szCs w:val="20"/>
              </w:rPr>
              <w:t>Пыщугский</w:t>
            </w:r>
            <w:proofErr w:type="spellEnd"/>
            <w:r w:rsidR="00E6422A">
              <w:rPr>
                <w:sz w:val="20"/>
                <w:szCs w:val="20"/>
              </w:rPr>
              <w:t xml:space="preserve">, </w:t>
            </w:r>
            <w:proofErr w:type="spellStart"/>
            <w:r w:rsidR="00E6422A">
              <w:rPr>
                <w:sz w:val="20"/>
                <w:szCs w:val="20"/>
              </w:rPr>
              <w:t>Солигаличский</w:t>
            </w:r>
            <w:proofErr w:type="spellEnd"/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Гкал на 1 кв. м общей площади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Гкал на 1 кв. м общей площади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Гкал на 1 кв. м общей площади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месяц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год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месяц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год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месяц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год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0,0503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0,34204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0,0509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0,3563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0,0519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0,37368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0,0466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0,31688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0,0472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0,3304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0,0481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0,34632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3-4-этажные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0,0291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0,19788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0,0295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0,2065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0,0301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0,21672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5-9-этажные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0,0246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0,16728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0,0251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0,1757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0,0236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0,16048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0,0235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0,1598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Многоквартирные и жилые дома после 1999 года постройки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0,0196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0,13328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0,0202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0,1414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0,0210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0,1512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0,0165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0,1122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0,0170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0,119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0,0173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0,12456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0,0164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0,11152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0,0169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0,1183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4-5-этажные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0,0141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0,09588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0,0145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0,1015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6-7-этажные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0,0131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0,08908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8-9-этажные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0,0124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0,08432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10-этажные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0,0177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0,12036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12- и более этажные жилые дома</w:t>
            </w:r>
          </w:p>
        </w:tc>
        <w:tc>
          <w:tcPr>
            <w:tcW w:w="170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0,0114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0,07752</w:t>
            </w:r>
          </w:p>
        </w:tc>
        <w:tc>
          <w:tcPr>
            <w:tcW w:w="996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 земельного участка, отводимого для объектов теплоснабжения, га</w:t>
            </w:r>
            <w:hyperlink w:anchor="P2337" w:tooltip="&lt;3&gt; Размеры земельных участков отопительных котельных, обеспечивающих потребителей горячей водой с непосредственным водоразбором, а также котельных, доставка топлива которым предусматривается по железной дороге, следует увеличивать на 20%.">
              <w:r w:rsidRPr="00F106CD">
                <w:rPr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043" w:type="dxa"/>
            <w:vMerge w:val="restart"/>
          </w:tcPr>
          <w:p w:rsidR="00500B31" w:rsidRPr="00F106CD" w:rsidRDefault="00500B31" w:rsidP="00C6448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t>Теплопроизводительность</w:t>
            </w:r>
            <w:proofErr w:type="spellEnd"/>
            <w:r w:rsidRPr="00F106CD">
              <w:rPr>
                <w:sz w:val="20"/>
                <w:szCs w:val="20"/>
              </w:rPr>
              <w:t xml:space="preserve"> котельных, Гкал/ч (МВт)</w:t>
            </w:r>
          </w:p>
        </w:tc>
        <w:tc>
          <w:tcPr>
            <w:tcW w:w="6320" w:type="dxa"/>
            <w:gridSpan w:val="6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Работающих на </w:t>
            </w:r>
            <w:proofErr w:type="spellStart"/>
            <w:r w:rsidRPr="00F106CD">
              <w:rPr>
                <w:sz w:val="20"/>
                <w:szCs w:val="20"/>
              </w:rPr>
              <w:t>газомазутном</w:t>
            </w:r>
            <w:proofErr w:type="spellEnd"/>
            <w:r w:rsidRPr="00F106CD">
              <w:rPr>
                <w:sz w:val="20"/>
                <w:szCs w:val="20"/>
              </w:rPr>
              <w:t xml:space="preserve"> топливе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5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5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10 до 50 (свыше 12 до 58)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50 до 100 (свыше 58 до 116)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100 до 200 (свыше 116 до 233)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3,7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200 до 400 (свыше 233 до 466)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4,3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8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50.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водоснабжения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водозаборы;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водопроводные очистные сооружения;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насосные станции;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водонапорные башни;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резервуары;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артезианские скважины;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водопроводные сети и иные объекты, обеспечивающие забор, водоподготовку, подачу питьевой воды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Удельное хозяйственно-питьевое водопотребление в населенных пунктах на одного жителя среднесуточное (за год), л/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Степень благоустройства многоквартирного или жилого дома</w:t>
            </w:r>
          </w:p>
        </w:tc>
        <w:tc>
          <w:tcPr>
            <w:tcW w:w="1909" w:type="dxa"/>
            <w:gridSpan w:val="2"/>
            <w:vMerge w:val="restart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внутридомовых и инженерных систем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внутриквартирного (домового) оборудования</w:t>
            </w:r>
          </w:p>
        </w:tc>
        <w:tc>
          <w:tcPr>
            <w:tcW w:w="1909" w:type="dxa"/>
            <w:gridSpan w:val="2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Водоснабжение от уличных водоразборных колонок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без водоотведения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70,0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водоснабжение, без водоотведения, с водонагревателями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162,7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 с водоотведением, с водонагревателями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горячее водоснабжение, холодное водоснабжение, водоотведение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293,3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277,0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262,3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114,0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89.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 при наличии ванн и внутриквартирных водонагревателей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водонагреватели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электрические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газовые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общими душевыми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душами при всех жилых помещениях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 земельного участка, отводимого для размещения станций очистки воды, кв. м (га)</w:t>
            </w: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Производительность,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0,8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0,8 до 12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12 до 32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32 до 80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80 до 125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125 до 250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250 до 400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400 до 800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8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104.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водоотведения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канализационные очистные сооружения;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канализационные насосные станции;</w:t>
            </w:r>
          </w:p>
          <w:p w:rsidR="00500B31" w:rsidRPr="00F106CD" w:rsidRDefault="00500B31" w:rsidP="00C6448C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канализационные коллекторы и иные объекты, обеспечивающие прием, транспортировку и очистку сточных вод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Удельное водоотведение в населенных пунктах на одного жителя среднесуточное (за год), л/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454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Степень благоустройства многоквартирного или жилого дома</w:t>
            </w:r>
          </w:p>
        </w:tc>
        <w:tc>
          <w:tcPr>
            <w:tcW w:w="1909" w:type="dxa"/>
            <w:gridSpan w:val="2"/>
            <w:vMerge w:val="restart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внутридомовых и инженерных систем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внутриквартирного (домового оборудования)</w:t>
            </w:r>
          </w:p>
        </w:tc>
        <w:tc>
          <w:tcPr>
            <w:tcW w:w="1909" w:type="dxa"/>
            <w:gridSpan w:val="2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162,7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 с водоотведением, с водонагревателями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горячее водоснабжение, холодное водоснабжение, водоотведение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293,3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277,0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262,3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114,0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 при наличии ванн и внутриквартирных водонагревателей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водонагреватели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электрические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газовые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общими душевыми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душами при всех жилых помещениях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 земельного участка, отводимого для размещения объектов водоотведения, га</w:t>
            </w:r>
            <w:hyperlink w:anchor="P2338" w:tooltip="&lt;4&gt; Размеры земельных участков очистных сооружений производительностью свыше 280 тыс. м3/сут. следует принимать по проектам, разработанным в установленном порядке, проектам аналогичных сооружений или по данным профильных организаций при согласовании с органами">
              <w:r w:rsidRPr="00F106CD">
                <w:rPr>
                  <w:sz w:val="20"/>
                  <w:szCs w:val="20"/>
                </w:rPr>
                <w:t>&lt;4&gt;</w:t>
              </w:r>
            </w:hyperlink>
            <w:r w:rsidRPr="00F106CD">
              <w:rPr>
                <w:sz w:val="20"/>
                <w:szCs w:val="20"/>
              </w:rPr>
              <w:t xml:space="preserve">, </w:t>
            </w:r>
            <w:hyperlink w:anchor="P2339" w:tooltip="&lt;5&gt;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0,25 га, в соответствии с требованиями СП 32.13330.2018.">
              <w:r w:rsidRPr="00F106CD">
                <w:rPr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Производительность очистных сооружений канализации,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320" w:type="dxa"/>
            <w:gridSpan w:val="6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Размеры земельного участка, га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917" w:type="dxa"/>
          </w:tcPr>
          <w:p w:rsidR="00500B31" w:rsidRPr="00F106CD" w:rsidRDefault="00500B31" w:rsidP="00C6448C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135.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0,1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136.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0,1 до 0,2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137.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0,2 до 0,4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138.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0,4 до 0,8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139.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0,8 до 17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17 до 40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141.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40 до 130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25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130 до 175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143.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175 до 282</w:t>
            </w:r>
          </w:p>
        </w:tc>
        <w:tc>
          <w:tcPr>
            <w:tcW w:w="4411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55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F106CD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144.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8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rPr>
          <w:trHeight w:val="3336"/>
        </w:trPr>
        <w:tc>
          <w:tcPr>
            <w:tcW w:w="14884" w:type="dxa"/>
            <w:gridSpan w:val="11"/>
          </w:tcPr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Примечания: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1" w:name="P2335"/>
            <w:bookmarkEnd w:id="1"/>
            <w:r w:rsidRPr="00F106CD">
              <w:rPr>
                <w:sz w:val="20"/>
                <w:szCs w:val="20"/>
              </w:rPr>
              <w:t>&lt;1&gt; Приведенные укрупненные показатели электропотребления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водоснабжения, водоотведения и теплоснабжения. Укрупненные показатели электропотребления используются для предварительных расчетов количества и мощности отдельных объектов электроэнергетики.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2" w:name="P2336"/>
            <w:bookmarkEnd w:id="2"/>
            <w:r w:rsidRPr="00F106CD">
              <w:rPr>
                <w:sz w:val="20"/>
                <w:szCs w:val="20"/>
              </w:rPr>
              <w:t xml:space="preserve">&lt;2&gt; При наличии данных о параметрах жилищного фонда следует руководствоваться показателями, установленными </w:t>
            </w:r>
            <w:hyperlink r:id="rId8" w:tooltip="Постановление Департамента топливно-энергетического комплекса и жилищно-коммунального хозяйства Костромской области от 16.10.2012 N 2-НП (ред. от 26.10.2020) &quot;Об утверждении нормативов потребления коммунальной услуги по электроснабжению на территории Костромск">
              <w:r w:rsidRPr="00F106CD">
                <w:rPr>
                  <w:sz w:val="20"/>
                  <w:szCs w:val="20"/>
                </w:rPr>
                <w:t>постановлением</w:t>
              </w:r>
            </w:hyperlink>
            <w:r w:rsidRPr="00F106CD">
              <w:rPr>
                <w:sz w:val="20"/>
                <w:szCs w:val="20"/>
              </w:rPr>
              <w:t xml:space="preserve"> департамента топливно-энергетического комплекса и жилищно-коммунального хозяйства Костромской области от 16 октября 2012 года </w:t>
            </w:r>
            <w:r w:rsidR="00F5340C">
              <w:rPr>
                <w:sz w:val="20"/>
                <w:szCs w:val="20"/>
              </w:rPr>
              <w:t>№</w:t>
            </w:r>
            <w:r w:rsidRPr="00F106CD">
              <w:rPr>
                <w:sz w:val="20"/>
                <w:szCs w:val="20"/>
              </w:rPr>
              <w:t xml:space="preserve"> 2-НП </w:t>
            </w:r>
            <w:r w:rsidR="00F5340C">
              <w:rPr>
                <w:sz w:val="20"/>
                <w:szCs w:val="20"/>
              </w:rPr>
              <w:t>«</w:t>
            </w:r>
            <w:r w:rsidRPr="00F106CD">
              <w:rPr>
                <w:sz w:val="20"/>
                <w:szCs w:val="20"/>
              </w:rPr>
              <w:t>Об утверждении нормативов потребления коммунальной услуги по электроснабжению на территории Костромской области</w:t>
            </w:r>
            <w:r w:rsidR="00F5340C">
              <w:rPr>
                <w:sz w:val="20"/>
                <w:szCs w:val="20"/>
              </w:rPr>
              <w:t>»</w:t>
            </w:r>
            <w:r w:rsidRPr="00F106CD">
              <w:rPr>
                <w:sz w:val="20"/>
                <w:szCs w:val="20"/>
              </w:rPr>
              <w:t>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3" w:name="P2337"/>
            <w:bookmarkEnd w:id="3"/>
            <w:r w:rsidRPr="00F106CD">
              <w:rPr>
                <w:sz w:val="20"/>
                <w:szCs w:val="20"/>
              </w:rPr>
              <w:t xml:space="preserve">&lt;3&gt; Размеры земельных участков отопительных котельных, обеспечивающих потребителей горячей водой с непосредственным </w:t>
            </w:r>
            <w:proofErr w:type="spellStart"/>
            <w:r w:rsidRPr="00F106CD">
              <w:rPr>
                <w:sz w:val="20"/>
                <w:szCs w:val="20"/>
              </w:rPr>
              <w:t>водоразбором</w:t>
            </w:r>
            <w:proofErr w:type="spellEnd"/>
            <w:r w:rsidRPr="00F106CD">
              <w:rPr>
                <w:sz w:val="20"/>
                <w:szCs w:val="20"/>
              </w:rPr>
              <w:t>, а также котельных, доставка топлива которым предусматривается по железной дороге, следует увеличивать на 20%.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4" w:name="P2338"/>
            <w:bookmarkEnd w:id="4"/>
            <w:r w:rsidRPr="00F106CD">
              <w:rPr>
                <w:sz w:val="20"/>
                <w:szCs w:val="20"/>
              </w:rPr>
              <w:t>&lt;4&gt; Размеры земельных участков очистных сооружений производительностью свыше 280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 следует принимать по проектам, разработанным в установленном порядке, проектам аналогичных сооружений или по данным профильных организаций при согласовании с органами государственного санитарно-эпидемиологического надзора.</w:t>
            </w:r>
          </w:p>
          <w:p w:rsidR="00500B31" w:rsidRPr="00F106CD" w:rsidRDefault="00500B31" w:rsidP="00500B31">
            <w:pPr>
              <w:shd w:val="clear" w:color="auto" w:fill="FFFFFF"/>
              <w:spacing w:after="240" w:line="240" w:lineRule="auto"/>
              <w:jc w:val="both"/>
              <w:textAlignment w:val="baseline"/>
              <w:rPr>
                <w:sz w:val="20"/>
                <w:szCs w:val="20"/>
              </w:rPr>
            </w:pPr>
            <w:bookmarkStart w:id="5" w:name="P2339"/>
            <w:bookmarkEnd w:id="5"/>
            <w:r w:rsidRPr="00F106CD">
              <w:rPr>
                <w:rFonts w:ascii="Times New Roman" w:hAnsi="Times New Roman" w:cs="Times New Roman"/>
                <w:sz w:val="20"/>
                <w:szCs w:val="20"/>
              </w:rPr>
              <w:t>&lt;5&gt;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0,25 га, в соответствии с требованиями СП 32.13330.2018.</w:t>
            </w:r>
          </w:p>
        </w:tc>
      </w:tr>
    </w:tbl>
    <w:p w:rsidR="005C1FC7" w:rsidRPr="00F106CD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 w:rsidRPr="00F106CD">
        <w:rPr>
          <w:rFonts w:ascii="Arial" w:hAnsi="Arial" w:cs="Arial"/>
          <w:b/>
          <w:bCs/>
        </w:rPr>
        <w:t xml:space="preserve">  </w:t>
      </w:r>
    </w:p>
    <w:sectPr w:rsidR="005C1FC7" w:rsidRPr="00F106CD" w:rsidSect="00E6422A">
      <w:headerReference w:type="default" r:id="rId9"/>
      <w:pgSz w:w="16838" w:h="11906" w:orient="landscape" w:code="9"/>
      <w:pgMar w:top="1559" w:right="1134" w:bottom="1276" w:left="1134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D0B" w:rsidRDefault="002F3D0B" w:rsidP="00E6422A">
      <w:pPr>
        <w:spacing w:after="0" w:line="240" w:lineRule="auto"/>
      </w:pPr>
      <w:r>
        <w:separator/>
      </w:r>
    </w:p>
  </w:endnote>
  <w:endnote w:type="continuationSeparator" w:id="0">
    <w:p w:rsidR="002F3D0B" w:rsidRDefault="002F3D0B" w:rsidP="00E6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D0B" w:rsidRDefault="002F3D0B" w:rsidP="00E6422A">
      <w:pPr>
        <w:spacing w:after="0" w:line="240" w:lineRule="auto"/>
      </w:pPr>
      <w:r>
        <w:separator/>
      </w:r>
    </w:p>
  </w:footnote>
  <w:footnote w:type="continuationSeparator" w:id="0">
    <w:p w:rsidR="002F3D0B" w:rsidRDefault="002F3D0B" w:rsidP="00E6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48C" w:rsidRPr="00E6422A" w:rsidRDefault="00C6448C">
    <w:pPr>
      <w:pStyle w:val="aa"/>
      <w:jc w:val="center"/>
      <w:rPr>
        <w:rFonts w:ascii="Times New Roman" w:hAnsi="Times New Roman" w:cs="Times New Roman"/>
        <w:sz w:val="20"/>
        <w:szCs w:val="20"/>
      </w:rPr>
    </w:pPr>
  </w:p>
  <w:p w:rsidR="00C6448C" w:rsidRDefault="00C6448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20590"/>
    <w:rsid w:val="000876F6"/>
    <w:rsid w:val="000D203B"/>
    <w:rsid w:val="001671FB"/>
    <w:rsid w:val="00210773"/>
    <w:rsid w:val="002B1AF9"/>
    <w:rsid w:val="002F1042"/>
    <w:rsid w:val="002F3D0B"/>
    <w:rsid w:val="002F506C"/>
    <w:rsid w:val="002F5EF3"/>
    <w:rsid w:val="00361289"/>
    <w:rsid w:val="003D37FB"/>
    <w:rsid w:val="003E021E"/>
    <w:rsid w:val="00432E63"/>
    <w:rsid w:val="00500B31"/>
    <w:rsid w:val="00504D9B"/>
    <w:rsid w:val="00577F00"/>
    <w:rsid w:val="005C1FC7"/>
    <w:rsid w:val="00631951"/>
    <w:rsid w:val="00635A3B"/>
    <w:rsid w:val="008B275C"/>
    <w:rsid w:val="008C0B44"/>
    <w:rsid w:val="00917DFF"/>
    <w:rsid w:val="0098754F"/>
    <w:rsid w:val="009B0AB2"/>
    <w:rsid w:val="009F5537"/>
    <w:rsid w:val="00A0161A"/>
    <w:rsid w:val="00A24D24"/>
    <w:rsid w:val="00BF037A"/>
    <w:rsid w:val="00BF4F9A"/>
    <w:rsid w:val="00C61979"/>
    <w:rsid w:val="00C6448C"/>
    <w:rsid w:val="00CB5F43"/>
    <w:rsid w:val="00D04CC0"/>
    <w:rsid w:val="00D5774A"/>
    <w:rsid w:val="00D7420C"/>
    <w:rsid w:val="00D75586"/>
    <w:rsid w:val="00DB2EFA"/>
    <w:rsid w:val="00DD26ED"/>
    <w:rsid w:val="00DF45F3"/>
    <w:rsid w:val="00E00ABE"/>
    <w:rsid w:val="00E6422A"/>
    <w:rsid w:val="00E647BC"/>
    <w:rsid w:val="00EB60B5"/>
    <w:rsid w:val="00F106CD"/>
    <w:rsid w:val="00F43719"/>
    <w:rsid w:val="00F4626B"/>
    <w:rsid w:val="00F5340C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D0756-A0D0-4247-A254-457CF7B9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437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437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371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4371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22A"/>
  </w:style>
  <w:style w:type="paragraph" w:styleId="ac">
    <w:name w:val="footer"/>
    <w:basedOn w:val="a"/>
    <w:link w:val="ad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4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65&amp;n=101416&amp;date=10.04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39994&amp;date=10.04.2025&amp;dst=100071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1B583-7990-420F-9B27-49ADD17A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6</cp:revision>
  <cp:lastPrinted>2025-08-29T05:44:00Z</cp:lastPrinted>
  <dcterms:created xsi:type="dcterms:W3CDTF">2025-08-29T05:03:00Z</dcterms:created>
  <dcterms:modified xsi:type="dcterms:W3CDTF">2025-08-29T05:45:00Z</dcterms:modified>
</cp:coreProperties>
</file>